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B" w:rsidRPr="001107DB" w:rsidRDefault="001107DB" w:rsidP="001107DB">
      <w:pPr>
        <w:widowControl/>
        <w:suppressAutoHyphens w:val="0"/>
        <w:autoSpaceDE/>
        <w:spacing w:after="150"/>
        <w:ind w:right="-567" w:firstLine="709"/>
        <w:jc w:val="both"/>
        <w:rPr>
          <w:color w:val="222222"/>
          <w:sz w:val="24"/>
          <w:szCs w:val="24"/>
          <w:lang w:eastAsia="ru-RU"/>
        </w:rPr>
      </w:pPr>
      <w:r w:rsidRPr="001107DB">
        <w:rPr>
          <w:rFonts w:ascii="Arial" w:hAnsi="Arial" w:cs="Arial"/>
          <w:color w:val="222222"/>
          <w:sz w:val="21"/>
          <w:szCs w:val="21"/>
          <w:lang w:eastAsia="ru-RU"/>
        </w:rPr>
        <w:br/>
      </w:r>
      <w:r w:rsidRPr="001107DB">
        <w:rPr>
          <w:color w:val="222222"/>
          <w:sz w:val="24"/>
          <w:szCs w:val="24"/>
          <w:lang w:eastAsia="ru-RU"/>
        </w:rPr>
        <w:t xml:space="preserve">Изменения вступают в силу 17 февраля </w:t>
      </w:r>
      <w:r w:rsidR="005C0EB9">
        <w:rPr>
          <w:color w:val="222222"/>
          <w:sz w:val="24"/>
          <w:szCs w:val="24"/>
          <w:lang w:eastAsia="ru-RU"/>
        </w:rPr>
        <w:t xml:space="preserve">2023 года </w:t>
      </w:r>
      <w:bookmarkStart w:id="0" w:name="_GoBack"/>
      <w:bookmarkEnd w:id="0"/>
      <w:r w:rsidRPr="001107DB">
        <w:rPr>
          <w:color w:val="222222"/>
          <w:sz w:val="24"/>
          <w:szCs w:val="24"/>
          <w:lang w:eastAsia="ru-RU"/>
        </w:rPr>
        <w:t xml:space="preserve">и касаются всех разделов стандарта. Ведомство соотнесло основные положения, по которым ФГОС и ФОП </w:t>
      </w:r>
      <w:proofErr w:type="gramStart"/>
      <w:r w:rsidRPr="001107DB">
        <w:rPr>
          <w:color w:val="222222"/>
          <w:sz w:val="24"/>
          <w:szCs w:val="24"/>
          <w:lang w:eastAsia="ru-RU"/>
        </w:rPr>
        <w:t>ДО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расходились, и скорректировало пункты о ПООП.</w:t>
      </w:r>
    </w:p>
    <w:p w:rsidR="001107DB" w:rsidRPr="001107DB" w:rsidRDefault="001107DB" w:rsidP="001107DB">
      <w:pPr>
        <w:widowControl/>
        <w:suppressAutoHyphens w:val="0"/>
        <w:autoSpaceDE/>
        <w:spacing w:after="150"/>
        <w:ind w:right="-567"/>
        <w:jc w:val="both"/>
        <w:rPr>
          <w:color w:val="222222"/>
          <w:sz w:val="24"/>
          <w:szCs w:val="24"/>
          <w:lang w:eastAsia="ru-RU"/>
        </w:rPr>
      </w:pPr>
      <w:r w:rsidRPr="001107DB">
        <w:rPr>
          <w:color w:val="222222"/>
          <w:sz w:val="24"/>
          <w:szCs w:val="24"/>
          <w:lang w:eastAsia="ru-RU"/>
        </w:rPr>
        <w:t xml:space="preserve">Теперь ФГОС </w:t>
      </w:r>
      <w:proofErr w:type="gramStart"/>
      <w:r w:rsidRPr="001107DB">
        <w:rPr>
          <w:color w:val="222222"/>
          <w:sz w:val="24"/>
          <w:szCs w:val="24"/>
          <w:lang w:eastAsia="ru-RU"/>
        </w:rPr>
        <w:t>ДО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– </w:t>
      </w:r>
      <w:proofErr w:type="gramStart"/>
      <w:r w:rsidRPr="001107DB">
        <w:rPr>
          <w:color w:val="222222"/>
          <w:sz w:val="24"/>
          <w:szCs w:val="24"/>
          <w:lang w:eastAsia="ru-RU"/>
        </w:rPr>
        <w:t>основа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для разработки ФОП ДО и образовательной программы детского сада. Содержание программы ДОО должно обеспечивать физическое и психическое развитие детей в различных видах деятельности, а не как раньше «развитие личности, мотивации и способностей детей». Образовательные области следует рассматривать как направления обучения и воспитания детей, а не развития и образования. Обязательную часть своей программы согласно ФГОС </w:t>
      </w:r>
      <w:proofErr w:type="gramStart"/>
      <w:r w:rsidRPr="001107DB">
        <w:rPr>
          <w:color w:val="222222"/>
          <w:sz w:val="24"/>
          <w:szCs w:val="24"/>
          <w:lang w:eastAsia="ru-RU"/>
        </w:rPr>
        <w:t>ДО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</w:t>
      </w:r>
      <w:proofErr w:type="gramStart"/>
      <w:r w:rsidRPr="001107DB">
        <w:rPr>
          <w:color w:val="222222"/>
          <w:sz w:val="24"/>
          <w:szCs w:val="24"/>
          <w:lang w:eastAsia="ru-RU"/>
        </w:rPr>
        <w:t>детские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сады должны будут оформлять в виде ссылки на федеральную программу.</w:t>
      </w:r>
    </w:p>
    <w:p w:rsidR="001107DB" w:rsidRPr="001107DB" w:rsidRDefault="001107DB" w:rsidP="001107DB">
      <w:pPr>
        <w:widowControl/>
        <w:suppressAutoHyphens w:val="0"/>
        <w:autoSpaceDE/>
        <w:spacing w:after="150"/>
        <w:ind w:right="-567"/>
        <w:jc w:val="both"/>
        <w:rPr>
          <w:color w:val="222222"/>
          <w:sz w:val="24"/>
          <w:szCs w:val="24"/>
          <w:lang w:eastAsia="ru-RU"/>
        </w:rPr>
      </w:pPr>
      <w:r w:rsidRPr="001107DB">
        <w:rPr>
          <w:color w:val="222222"/>
          <w:sz w:val="24"/>
          <w:szCs w:val="24"/>
          <w:lang w:eastAsia="ru-RU"/>
        </w:rPr>
        <w:t xml:space="preserve">Названия и количество образовательных областей не измелись, а содержание каждой из них в Стандарте теперь соответствует ФОП </w:t>
      </w:r>
      <w:proofErr w:type="gramStart"/>
      <w:r w:rsidRPr="001107DB">
        <w:rPr>
          <w:color w:val="222222"/>
          <w:sz w:val="24"/>
          <w:szCs w:val="24"/>
          <w:lang w:eastAsia="ru-RU"/>
        </w:rPr>
        <w:t>ДО</w:t>
      </w:r>
      <w:proofErr w:type="gramEnd"/>
      <w:r w:rsidRPr="001107DB">
        <w:rPr>
          <w:color w:val="222222"/>
          <w:sz w:val="24"/>
          <w:szCs w:val="24"/>
          <w:lang w:eastAsia="ru-RU"/>
        </w:rPr>
        <w:t>. Также авторы изменений дополнили виды детской деятельности, в которых педагоги могут реализовывать содержание образовательных областей в зависимости от возраста детей. Обновили ссылки на актуальные </w:t>
      </w:r>
      <w:hyperlink r:id="rId6" w:anchor="/document/99/573500115/" w:tgtFrame="_self" w:tooltip="" w:history="1">
        <w:r w:rsidRPr="001107DB">
          <w:rPr>
            <w:color w:val="01745C"/>
            <w:sz w:val="24"/>
            <w:szCs w:val="24"/>
            <w:lang w:eastAsia="ru-RU"/>
          </w:rPr>
          <w:t>СанПиН 1.2.3685-21</w:t>
        </w:r>
      </w:hyperlink>
      <w:r w:rsidRPr="001107DB">
        <w:rPr>
          <w:color w:val="222222"/>
          <w:sz w:val="24"/>
          <w:szCs w:val="24"/>
          <w:lang w:eastAsia="ru-RU"/>
        </w:rPr>
        <w:t> и </w:t>
      </w:r>
      <w:hyperlink r:id="rId7" w:anchor="/document/99/566085656/" w:tgtFrame="_self" w:tooltip="" w:history="1">
        <w:r w:rsidRPr="001107DB">
          <w:rPr>
            <w:color w:val="01745C"/>
            <w:sz w:val="24"/>
            <w:szCs w:val="24"/>
            <w:lang w:eastAsia="ru-RU"/>
          </w:rPr>
          <w:t>СП 2.4.3648-20</w:t>
        </w:r>
      </w:hyperlink>
      <w:r w:rsidRPr="001107DB">
        <w:rPr>
          <w:color w:val="222222"/>
          <w:sz w:val="24"/>
          <w:szCs w:val="24"/>
          <w:lang w:eastAsia="ru-RU"/>
        </w:rPr>
        <w:t>, которым должен соответствовать максимально допустимый объем образовательной нагрузки.</w:t>
      </w:r>
    </w:p>
    <w:p w:rsidR="001107DB" w:rsidRPr="001107DB" w:rsidRDefault="001107DB" w:rsidP="001107DB">
      <w:pPr>
        <w:widowControl/>
        <w:suppressAutoHyphens w:val="0"/>
        <w:autoSpaceDE/>
        <w:spacing w:after="150"/>
        <w:ind w:right="-567"/>
        <w:jc w:val="both"/>
        <w:rPr>
          <w:color w:val="222222"/>
          <w:sz w:val="24"/>
          <w:szCs w:val="24"/>
          <w:lang w:eastAsia="ru-RU"/>
        </w:rPr>
      </w:pPr>
      <w:r w:rsidRPr="001107DB">
        <w:rPr>
          <w:color w:val="222222"/>
          <w:sz w:val="24"/>
          <w:szCs w:val="24"/>
          <w:lang w:eastAsia="ru-RU"/>
        </w:rPr>
        <w:t xml:space="preserve">Вместо двух блоков целевых ориентиров для младенческого и раннего возраста и на этапе завершения дошкольного образования теперь ФГОС </w:t>
      </w:r>
      <w:proofErr w:type="gramStart"/>
      <w:r w:rsidRPr="001107DB">
        <w:rPr>
          <w:color w:val="222222"/>
          <w:sz w:val="24"/>
          <w:szCs w:val="24"/>
          <w:lang w:eastAsia="ru-RU"/>
        </w:rPr>
        <w:t>ДО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предусматривает </w:t>
      </w:r>
      <w:proofErr w:type="gramStart"/>
      <w:r w:rsidRPr="001107DB">
        <w:rPr>
          <w:color w:val="222222"/>
          <w:sz w:val="24"/>
          <w:szCs w:val="24"/>
          <w:lang w:eastAsia="ru-RU"/>
        </w:rPr>
        <w:t>три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блока. Целевые ориентиры для младенческого и раннего возраста отделили друг от друга и внесли в текст отдельными блоками.</w:t>
      </w:r>
    </w:p>
    <w:p w:rsidR="001107DB" w:rsidRPr="001107DB" w:rsidRDefault="001107DB" w:rsidP="001107DB">
      <w:pPr>
        <w:widowControl/>
        <w:suppressAutoHyphens w:val="0"/>
        <w:autoSpaceDE/>
        <w:spacing w:after="150"/>
        <w:ind w:right="-567"/>
        <w:jc w:val="both"/>
        <w:rPr>
          <w:color w:val="222222"/>
          <w:sz w:val="24"/>
          <w:szCs w:val="24"/>
          <w:lang w:eastAsia="ru-RU"/>
        </w:rPr>
      </w:pPr>
      <w:r w:rsidRPr="001107DB">
        <w:rPr>
          <w:color w:val="222222"/>
          <w:sz w:val="24"/>
          <w:szCs w:val="24"/>
          <w:lang w:eastAsia="ru-RU"/>
        </w:rPr>
        <w:t xml:space="preserve">Все изменения в текст ФГОС </w:t>
      </w:r>
      <w:proofErr w:type="gramStart"/>
      <w:r w:rsidRPr="001107DB">
        <w:rPr>
          <w:color w:val="222222"/>
          <w:sz w:val="24"/>
          <w:szCs w:val="24"/>
          <w:lang w:eastAsia="ru-RU"/>
        </w:rPr>
        <w:t>ДО</w:t>
      </w:r>
      <w:proofErr w:type="gramEnd"/>
      <w:r w:rsidRPr="001107DB">
        <w:rPr>
          <w:color w:val="222222"/>
          <w:sz w:val="24"/>
          <w:szCs w:val="24"/>
          <w:lang w:eastAsia="ru-RU"/>
        </w:rPr>
        <w:t xml:space="preserve"> смотрите в таблице.</w:t>
      </w:r>
    </w:p>
    <w:tbl>
      <w:tblPr>
        <w:tblW w:w="519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3754"/>
        <w:gridCol w:w="4661"/>
      </w:tblGrid>
      <w:tr w:rsidR="001107DB" w:rsidRPr="001107DB" w:rsidTr="00DA17E7">
        <w:trPr>
          <w:tblHeader/>
        </w:trPr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jc w:val="center"/>
              <w:rPr>
                <w:b/>
                <w:bCs/>
                <w:lang w:eastAsia="ru-RU"/>
              </w:rPr>
            </w:pPr>
            <w:r w:rsidRPr="001107DB">
              <w:rPr>
                <w:b/>
                <w:bCs/>
                <w:lang w:eastAsia="ru-RU"/>
              </w:rPr>
              <w:t>Пункт ФГОС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jc w:val="center"/>
              <w:rPr>
                <w:b/>
                <w:bCs/>
                <w:lang w:eastAsia="ru-RU"/>
              </w:rPr>
            </w:pPr>
            <w:r w:rsidRPr="001107DB">
              <w:rPr>
                <w:b/>
                <w:bCs/>
                <w:lang w:eastAsia="ru-RU"/>
              </w:rPr>
              <w:t>Как стало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jc w:val="center"/>
              <w:rPr>
                <w:b/>
                <w:bCs/>
                <w:lang w:eastAsia="ru-RU"/>
              </w:rPr>
            </w:pPr>
            <w:r w:rsidRPr="001107DB">
              <w:rPr>
                <w:b/>
                <w:bCs/>
                <w:lang w:eastAsia="ru-RU"/>
              </w:rPr>
              <w:t>Как было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Подп. 3 п. 6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Стандарт направлен на решение следующих задач:</w:t>
            </w:r>
            <w:r w:rsidRPr="001107DB">
              <w:rPr>
                <w:lang w:eastAsia="ru-RU"/>
              </w:rPr>
              <w:br/>
              <w:t>...</w:t>
            </w:r>
            <w:r w:rsidRPr="001107DB">
              <w:rPr>
                <w:lang w:eastAsia="ru-RU"/>
              </w:rPr>
              <w:br/>
              <w:t>3) обеспечения преемственности целей, задач и содержания образования, реализуемых в рамках образовательных программ различных уровней (далее – </w:t>
            </w:r>
            <w:r w:rsidRPr="001107DB">
              <w:rPr>
                <w:b/>
                <w:bCs/>
                <w:lang w:eastAsia="ru-RU"/>
              </w:rPr>
              <w:t>преемственность образовательных</w:t>
            </w:r>
            <w:r w:rsidRPr="001107DB">
              <w:rPr>
                <w:lang w:eastAsia="ru-RU"/>
              </w:rPr>
              <w:t> программ дошкольного и начального общего образования)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Стандарт направлен на решение следующих задач:</w:t>
            </w:r>
            <w:r w:rsidRPr="001107DB">
              <w:rPr>
                <w:lang w:eastAsia="ru-RU"/>
              </w:rPr>
              <w:br/>
              <w:t>...</w:t>
            </w:r>
            <w:r w:rsidRPr="001107DB">
              <w:rPr>
                <w:lang w:eastAsia="ru-RU"/>
              </w:rPr>
              <w:br/>
              <w:t>3) обеспечения преемственности целей, задач и содержания образования, реализуемых в рамках образовательных программ различных уровней (далее – преемственность </w:t>
            </w:r>
            <w:r w:rsidRPr="001107DB">
              <w:rPr>
                <w:b/>
                <w:bCs/>
                <w:lang w:eastAsia="ru-RU"/>
              </w:rPr>
              <w:t>основных </w:t>
            </w:r>
            <w:r w:rsidRPr="001107DB">
              <w:rPr>
                <w:lang w:eastAsia="ru-RU"/>
              </w:rPr>
              <w:t>образовательных программ дошкольного и начального общего образования)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1.7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 xml:space="preserve">Стандарт является основой </w:t>
            </w:r>
            <w:proofErr w:type="gramStart"/>
            <w:r w:rsidRPr="001107DB">
              <w:rPr>
                <w:lang w:eastAsia="ru-RU"/>
              </w:rPr>
              <w:t>для</w:t>
            </w:r>
            <w:proofErr w:type="gramEnd"/>
            <w:r w:rsidRPr="001107DB">
              <w:rPr>
                <w:lang w:eastAsia="ru-RU"/>
              </w:rPr>
              <w:t>:</w:t>
            </w:r>
          </w:p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1) разработки </w:t>
            </w:r>
            <w:r w:rsidRPr="001107DB">
              <w:rPr>
                <w:b/>
                <w:bCs/>
                <w:lang w:eastAsia="ru-RU"/>
              </w:rPr>
              <w:t>федеральной образовательной программы дошкольного образовани</w:t>
            </w:r>
            <w:proofErr w:type="gramStart"/>
            <w:r w:rsidRPr="001107DB">
              <w:rPr>
                <w:b/>
                <w:bCs/>
                <w:lang w:eastAsia="ru-RU"/>
              </w:rPr>
              <w:t>я(</w:t>
            </w:r>
            <w:proofErr w:type="gramEnd"/>
            <w:r w:rsidRPr="001107DB">
              <w:rPr>
                <w:b/>
                <w:bCs/>
                <w:lang w:eastAsia="ru-RU"/>
              </w:rPr>
              <w:t>далее –  федеральная программа)</w:t>
            </w:r>
            <w:r w:rsidRPr="001107DB">
              <w:rPr>
                <w:lang w:eastAsia="ru-RU"/>
              </w:rPr>
              <w:t>;</w:t>
            </w:r>
            <w:r w:rsidRPr="001107DB">
              <w:rPr>
                <w:lang w:eastAsia="ru-RU"/>
              </w:rPr>
              <w:br/>
              <w:t>2) разработки Программы;</w:t>
            </w:r>
            <w:r w:rsidRPr="001107DB">
              <w:rPr>
                <w:lang w:eastAsia="ru-RU"/>
              </w:rPr>
              <w:br/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 xml:space="preserve">Стандарт является основой </w:t>
            </w:r>
            <w:proofErr w:type="gramStart"/>
            <w:r w:rsidRPr="001107DB">
              <w:rPr>
                <w:lang w:eastAsia="ru-RU"/>
              </w:rPr>
              <w:t>для</w:t>
            </w:r>
            <w:proofErr w:type="gramEnd"/>
            <w:r w:rsidRPr="001107DB">
              <w:rPr>
                <w:lang w:eastAsia="ru-RU"/>
              </w:rPr>
              <w:t>:</w:t>
            </w:r>
          </w:p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1) разработки Программы;</w:t>
            </w:r>
            <w:r w:rsidRPr="001107DB">
              <w:rPr>
                <w:lang w:eastAsia="ru-RU"/>
              </w:rPr>
              <w:br/>
              <w:t>2) разработки </w:t>
            </w:r>
            <w:r w:rsidRPr="001107DB">
              <w:rPr>
                <w:b/>
                <w:bCs/>
                <w:lang w:eastAsia="ru-RU"/>
              </w:rPr>
              <w:t>вариативных примерных образовательных программ дошкольного образования (далее – примерные программы)</w:t>
            </w:r>
            <w:r w:rsidRPr="001107DB">
              <w:rPr>
                <w:lang w:eastAsia="ru-RU"/>
              </w:rPr>
              <w:t>;</w:t>
            </w:r>
            <w:r w:rsidRPr="001107DB">
              <w:rPr>
                <w:lang w:eastAsia="ru-RU"/>
              </w:rPr>
              <w:br/>
              <w:t>3) разработки нормативов финансового 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proofErr w:type="spellStart"/>
            <w:r w:rsidRPr="001107DB">
              <w:rPr>
                <w:lang w:eastAsia="ru-RU"/>
              </w:rPr>
              <w:t>Абз</w:t>
            </w:r>
            <w:proofErr w:type="spellEnd"/>
            <w:r w:rsidRPr="001107DB">
              <w:rPr>
                <w:lang w:eastAsia="ru-RU"/>
              </w:rPr>
              <w:t xml:space="preserve">. 1 п. </w:t>
            </w:r>
            <w:r w:rsidRPr="001107DB">
              <w:rPr>
                <w:lang w:eastAsia="ru-RU"/>
              </w:rPr>
              <w:lastRenderedPageBreak/>
              <w:t>2.5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lastRenderedPageBreak/>
              <w:t xml:space="preserve">Программа разрабатывается и </w:t>
            </w:r>
            <w:r w:rsidRPr="001107DB">
              <w:rPr>
                <w:lang w:eastAsia="ru-RU"/>
              </w:rPr>
              <w:lastRenderedPageBreak/>
              <w:t>утверждается Организацией самостоятельно в соответствии с настоящим Стандартом и </w:t>
            </w:r>
            <w:r w:rsidRPr="001107DB">
              <w:rPr>
                <w:b/>
                <w:bCs/>
                <w:lang w:eastAsia="ru-RU"/>
              </w:rPr>
              <w:t>федеральной программой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lastRenderedPageBreak/>
              <w:t xml:space="preserve">Программа разрабатывается и утверждается </w:t>
            </w:r>
            <w:r w:rsidRPr="001107DB">
              <w:rPr>
                <w:lang w:eastAsia="ru-RU"/>
              </w:rPr>
              <w:lastRenderedPageBreak/>
              <w:t>Организацией самостоятельно в соответствии с настоящим Стандартом и </w:t>
            </w:r>
            <w:r w:rsidRPr="001107DB">
              <w:rPr>
                <w:b/>
                <w:bCs/>
                <w:lang w:eastAsia="ru-RU"/>
              </w:rPr>
              <w:t>с учетом Примерных программ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lastRenderedPageBreak/>
              <w:t>П. 2.6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 xml:space="preserve">Суть изменений: подробнее </w:t>
            </w:r>
            <w:proofErr w:type="gramStart"/>
            <w:r w:rsidRPr="001107DB">
              <w:rPr>
                <w:lang w:eastAsia="ru-RU"/>
              </w:rPr>
              <w:t>расписали</w:t>
            </w:r>
            <w:proofErr w:type="gramEnd"/>
            <w:r w:rsidRPr="001107DB">
              <w:rPr>
                <w:lang w:eastAsia="ru-RU"/>
              </w:rPr>
              <w:t xml:space="preserve"> на что должны быть направлены образовательные области – социально-коммуникативное, познавательное, речевое, художественно-эстетическое и физическое развитие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 xml:space="preserve">Направленности образовательных областей были </w:t>
            </w:r>
            <w:proofErr w:type="gramStart"/>
            <w:r w:rsidRPr="001107DB">
              <w:rPr>
                <w:lang w:eastAsia="ru-RU"/>
              </w:rPr>
              <w:t>изложены более сжато</w:t>
            </w:r>
            <w:proofErr w:type="gramEnd"/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2.7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Суть изменений: детальнее описали возможные виды деятельности воспитанников в зависимости от возраста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Виды деятельности детей имели более общее описание и предусматривали сквозные механизмы развития – общение, игру, познавательно-исследовательскую деятельность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2.10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Объем обязательной части Программы </w:t>
            </w:r>
            <w:r w:rsidRPr="001107DB">
              <w:rPr>
                <w:b/>
                <w:bCs/>
                <w:lang w:eastAsia="ru-RU"/>
              </w:rPr>
              <w:t>должен соответствовать федеральной программе и быть </w:t>
            </w:r>
            <w:r w:rsidRPr="001107DB">
              <w:rPr>
                <w:lang w:eastAsia="ru-RU"/>
              </w:rPr>
              <w:t>не менее 60% от общего объема Программы; части, формируемой участниками образовательных отношений, не более 40%. </w:t>
            </w:r>
            <w:r w:rsidRPr="001107DB">
              <w:rPr>
                <w:b/>
                <w:bCs/>
                <w:lang w:eastAsia="ru-RU"/>
              </w:rPr>
              <w:t>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Объем обязательной части Программы </w:t>
            </w:r>
            <w:r w:rsidRPr="001107DB">
              <w:rPr>
                <w:b/>
                <w:bCs/>
                <w:lang w:eastAsia="ru-RU"/>
              </w:rPr>
              <w:t>рекомендуется</w:t>
            </w:r>
            <w:r w:rsidRPr="001107DB">
              <w:rPr>
                <w:lang w:eastAsia="ru-RU"/>
              </w:rPr>
              <w:t> не менее 60% от ее общего объема; части, формируемой участниками образовательных отношений, не более 40%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proofErr w:type="spellStart"/>
            <w:r w:rsidRPr="001107DB">
              <w:rPr>
                <w:lang w:eastAsia="ru-RU"/>
              </w:rPr>
              <w:t>Абз</w:t>
            </w:r>
            <w:proofErr w:type="spellEnd"/>
            <w:r w:rsidRPr="001107DB">
              <w:rPr>
                <w:lang w:eastAsia="ru-RU"/>
              </w:rPr>
              <w:t>. 3 п. 2.11.2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Содержательный раздел Программы должен включать:</w:t>
            </w:r>
          </w:p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областях, </w:t>
            </w:r>
            <w:r w:rsidRPr="001107DB">
              <w:rPr>
                <w:b/>
                <w:bCs/>
                <w:lang w:eastAsia="ru-RU"/>
              </w:rPr>
              <w:t>федеральной программой</w:t>
            </w:r>
            <w:r w:rsidRPr="001107DB">
              <w:rPr>
                <w:lang w:eastAsia="ru-RU"/>
              </w:rPr>
              <w:t> и с учетом используемых методических пособий, обеспечивающих реализацию данного содержания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Содержательный раздел Программы должен включать:</w:t>
            </w:r>
          </w:p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proofErr w:type="gramStart"/>
            <w:r w:rsidRPr="001107DB">
              <w:rPr>
                <w:lang w:eastAsia="ru-RU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 </w:t>
            </w:r>
            <w:r w:rsidRPr="001107DB">
              <w:rPr>
                <w:b/>
                <w:bCs/>
                <w:lang w:eastAsia="ru-RU"/>
              </w:rPr>
              <w:t xml:space="preserve">вариативных примерных основных образовательных программ дошкольного </w:t>
            </w:r>
            <w:proofErr w:type="spellStart"/>
            <w:r w:rsidRPr="001107DB">
              <w:rPr>
                <w:b/>
                <w:bCs/>
                <w:lang w:eastAsia="ru-RU"/>
              </w:rPr>
              <w:t>образованияи</w:t>
            </w:r>
            <w:proofErr w:type="spellEnd"/>
            <w:r w:rsidRPr="001107DB">
              <w:rPr>
                <w:lang w:eastAsia="ru-RU"/>
              </w:rPr>
              <w:t> методических пособий, обеспечивающих реализацию данного содержания</w:t>
            </w:r>
            <w:proofErr w:type="gramEnd"/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proofErr w:type="spellStart"/>
            <w:r w:rsidRPr="001107DB">
              <w:rPr>
                <w:lang w:eastAsia="ru-RU"/>
              </w:rPr>
              <w:t>Абз</w:t>
            </w:r>
            <w:proofErr w:type="spellEnd"/>
            <w:r w:rsidRPr="001107DB">
              <w:rPr>
                <w:lang w:eastAsia="ru-RU"/>
              </w:rPr>
              <w:t>. 1 п. 2.12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Обязательная часть Программы </w:t>
            </w:r>
            <w:r w:rsidRPr="001107DB">
              <w:rPr>
                <w:b/>
                <w:bCs/>
                <w:lang w:eastAsia="ru-RU"/>
              </w:rPr>
              <w:t>должна соответствовать федеральной программе и </w:t>
            </w:r>
            <w:r w:rsidRPr="001107DB">
              <w:rPr>
                <w:lang w:eastAsia="ru-RU"/>
              </w:rPr>
              <w:t>оформляется в виде ссылки на</w:t>
            </w:r>
            <w:r w:rsidRPr="001107DB">
              <w:rPr>
                <w:b/>
                <w:bCs/>
                <w:lang w:eastAsia="ru-RU"/>
              </w:rPr>
              <w:t> нее.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b/>
                <w:bCs/>
                <w:lang w:eastAsia="ru-RU"/>
              </w:rPr>
              <w:t>В случае если</w:t>
            </w:r>
            <w:r w:rsidRPr="001107DB">
              <w:rPr>
                <w:lang w:eastAsia="ru-RU"/>
              </w:rPr>
              <w:t> обязательная часть Программы </w:t>
            </w:r>
            <w:r w:rsidRPr="001107DB">
              <w:rPr>
                <w:b/>
                <w:bCs/>
                <w:lang w:eastAsia="ru-RU"/>
              </w:rPr>
              <w:t>соответствует примерной программе, она</w:t>
            </w:r>
            <w:r w:rsidRPr="001107DB">
              <w:rPr>
                <w:lang w:eastAsia="ru-RU"/>
              </w:rPr>
              <w:t> оформляется в виде ссылки на </w:t>
            </w:r>
            <w:r w:rsidRPr="001107DB">
              <w:rPr>
                <w:b/>
                <w:bCs/>
                <w:lang w:eastAsia="ru-RU"/>
              </w:rPr>
              <w:t xml:space="preserve">соответствующую примерную программу. Обязательная часть должна быть </w:t>
            </w:r>
            <w:proofErr w:type="gramStart"/>
            <w:r w:rsidRPr="001107DB">
              <w:rPr>
                <w:b/>
                <w:bCs/>
                <w:lang w:eastAsia="ru-RU"/>
              </w:rPr>
              <w:t>представлена</w:t>
            </w:r>
            <w:proofErr w:type="gramEnd"/>
            <w:r w:rsidRPr="001107DB">
              <w:rPr>
                <w:b/>
                <w:bCs/>
                <w:lang w:eastAsia="ru-RU"/>
              </w:rPr>
              <w:t xml:space="preserve"> развернуто в соответствии с пунктом 2.11 Стандарта, в случае если она не соответствует одной из примерных программ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proofErr w:type="spellStart"/>
            <w:r w:rsidRPr="001107DB">
              <w:rPr>
                <w:lang w:eastAsia="ru-RU"/>
              </w:rPr>
              <w:t>Абз</w:t>
            </w:r>
            <w:proofErr w:type="spellEnd"/>
            <w:r w:rsidRPr="001107DB">
              <w:rPr>
                <w:lang w:eastAsia="ru-RU"/>
              </w:rPr>
              <w:t xml:space="preserve">. 4 п. </w:t>
            </w:r>
            <w:r w:rsidRPr="001107DB">
              <w:rPr>
                <w:lang w:eastAsia="ru-RU"/>
              </w:rPr>
              <w:lastRenderedPageBreak/>
              <w:t>2.13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lastRenderedPageBreak/>
              <w:t>В краткой презентации Программы должны быть указаны:</w:t>
            </w:r>
            <w:r w:rsidRPr="001107DB">
              <w:rPr>
                <w:lang w:eastAsia="ru-RU"/>
              </w:rPr>
              <w:br/>
            </w:r>
            <w:r w:rsidRPr="001107DB">
              <w:rPr>
                <w:lang w:eastAsia="ru-RU"/>
              </w:rPr>
              <w:lastRenderedPageBreak/>
              <w:t>…</w:t>
            </w:r>
            <w:r w:rsidRPr="001107DB">
              <w:rPr>
                <w:lang w:eastAsia="ru-RU"/>
              </w:rPr>
              <w:br/>
              <w:t>2) </w:t>
            </w:r>
            <w:r w:rsidRPr="001107DB">
              <w:rPr>
                <w:b/>
                <w:bCs/>
                <w:lang w:eastAsia="ru-RU"/>
              </w:rPr>
              <w:t>ссылка на федеральную программу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lastRenderedPageBreak/>
              <w:t>В краткой презентации Программы должны быть указаны:</w:t>
            </w:r>
            <w:r w:rsidRPr="001107DB">
              <w:rPr>
                <w:lang w:eastAsia="ru-RU"/>
              </w:rPr>
              <w:br/>
            </w:r>
            <w:r w:rsidRPr="001107DB">
              <w:rPr>
                <w:lang w:eastAsia="ru-RU"/>
              </w:rPr>
              <w:lastRenderedPageBreak/>
              <w:t>…</w:t>
            </w:r>
            <w:r w:rsidRPr="001107DB">
              <w:rPr>
                <w:lang w:eastAsia="ru-RU"/>
              </w:rPr>
              <w:br/>
              <w:t>2) </w:t>
            </w:r>
            <w:r w:rsidRPr="001107DB">
              <w:rPr>
                <w:b/>
                <w:bCs/>
                <w:lang w:eastAsia="ru-RU"/>
              </w:rPr>
              <w:t>используемые Примерные программы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lastRenderedPageBreak/>
              <w:t>Глава III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условиям </w:t>
            </w:r>
            <w:r w:rsidRPr="001107DB">
              <w:rPr>
                <w:b/>
                <w:bCs/>
                <w:lang w:eastAsia="ru-RU"/>
              </w:rPr>
              <w:t>реализации образовательной</w:t>
            </w:r>
            <w:r w:rsidRPr="001107DB">
              <w:rPr>
                <w:lang w:eastAsia="ru-RU"/>
              </w:rPr>
              <w:t> программы дошкольного образования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условиям реализации </w:t>
            </w:r>
            <w:r w:rsidRPr="001107DB">
              <w:rPr>
                <w:b/>
                <w:bCs/>
                <w:lang w:eastAsia="ru-RU"/>
              </w:rPr>
              <w:t>основной</w:t>
            </w:r>
            <w:r w:rsidRPr="001107DB">
              <w:rPr>
                <w:lang w:eastAsia="ru-RU"/>
              </w:rPr>
              <w:t> образовательной программы дошкольного образования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3.2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психолого-педагогическим условиям реализации </w:t>
            </w:r>
            <w:r w:rsidRPr="001107DB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психолого-педагогическим условиям реализации </w:t>
            </w:r>
            <w:r w:rsidRPr="001107DB">
              <w:rPr>
                <w:b/>
                <w:bCs/>
                <w:lang w:eastAsia="ru-RU"/>
              </w:rPr>
              <w:t>основной образовательной программы дошкольного образования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3.2.9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 xml:space="preserve">Суть изменений: заменили </w:t>
            </w:r>
            <w:proofErr w:type="gramStart"/>
            <w:r w:rsidRPr="001107DB">
              <w:rPr>
                <w:lang w:eastAsia="ru-RU"/>
              </w:rPr>
              <w:t>старый</w:t>
            </w:r>
            <w:proofErr w:type="gramEnd"/>
            <w:r w:rsidRPr="001107DB">
              <w:rPr>
                <w:lang w:eastAsia="ru-RU"/>
              </w:rPr>
              <w:t xml:space="preserve"> СанПиН детского сада на СанПиН 1.2.3685-21 и СП 2.4.3648-20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Упоминался старый СанПиН 2.4.1.3049-13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3.5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материально-техническим условиям реализации </w:t>
            </w:r>
            <w:r w:rsidRPr="001107DB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материально-техническим условиям реализации </w:t>
            </w:r>
            <w:r w:rsidRPr="001107DB">
              <w:rPr>
                <w:b/>
                <w:bCs/>
                <w:lang w:eastAsia="ru-RU"/>
              </w:rPr>
              <w:t>основной образовательной программы дошкольного образования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3.6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финансовым условиям реализации </w:t>
            </w:r>
            <w:r w:rsidRPr="001107DB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финансовым условиям реализации </w:t>
            </w:r>
            <w:r w:rsidRPr="001107DB">
              <w:rPr>
                <w:b/>
                <w:bCs/>
                <w:lang w:eastAsia="ru-RU"/>
              </w:rPr>
              <w:t>основной образовательной программы дошкольного образования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Глава IV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результатам </w:t>
            </w:r>
            <w:r w:rsidRPr="001107DB">
              <w:rPr>
                <w:b/>
                <w:bCs/>
                <w:lang w:eastAsia="ru-RU"/>
              </w:rPr>
              <w:t>освоения образовательной</w:t>
            </w:r>
            <w:r w:rsidRPr="001107DB">
              <w:rPr>
                <w:lang w:eastAsia="ru-RU"/>
              </w:rPr>
              <w:t> программы дошкольного образования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Требования к результатам освоения </w:t>
            </w:r>
            <w:r w:rsidRPr="001107DB">
              <w:rPr>
                <w:b/>
                <w:bCs/>
                <w:lang w:eastAsia="ru-RU"/>
              </w:rPr>
              <w:t>основной </w:t>
            </w:r>
            <w:r w:rsidRPr="001107DB">
              <w:rPr>
                <w:lang w:eastAsia="ru-RU"/>
              </w:rPr>
              <w:t>образовательной программы дошкольного образования</w:t>
            </w:r>
          </w:p>
        </w:tc>
      </w:tr>
      <w:tr w:rsidR="001107DB" w:rsidRPr="001107DB" w:rsidTr="00DA17E7"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П. 4.6</w:t>
            </w:r>
          </w:p>
        </w:tc>
        <w:tc>
          <w:tcPr>
            <w:tcW w:w="3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Суть изменений: детальнее изложили целевые ориентиры дошкольного образования. Выделили в отдельные группы целевые ориентиры для младенческого и раннего возрастов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DB" w:rsidRPr="001107DB" w:rsidRDefault="001107DB" w:rsidP="001107DB">
            <w:pPr>
              <w:widowControl/>
              <w:suppressAutoHyphens w:val="0"/>
              <w:autoSpaceDE/>
              <w:spacing w:after="150" w:line="255" w:lineRule="atLeast"/>
              <w:rPr>
                <w:lang w:eastAsia="ru-RU"/>
              </w:rPr>
            </w:pPr>
            <w:r w:rsidRPr="001107DB">
              <w:rPr>
                <w:lang w:eastAsia="ru-RU"/>
              </w:rPr>
              <w:t>Целевые ориентиры были более общими. Одинаковыми были ориентиры образования в младенческом и раннем возрасте</w:t>
            </w:r>
          </w:p>
        </w:tc>
      </w:tr>
    </w:tbl>
    <w:p w:rsidR="001107DB" w:rsidRPr="001107DB" w:rsidRDefault="001107DB" w:rsidP="001107DB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1107DB">
        <w:rPr>
          <w:rFonts w:ascii="Arial" w:hAnsi="Arial" w:cs="Arial"/>
          <w:color w:val="222222"/>
          <w:sz w:val="21"/>
          <w:szCs w:val="21"/>
          <w:lang w:eastAsia="ru-RU"/>
        </w:rPr>
        <w:br/>
      </w:r>
    </w:p>
    <w:p w:rsidR="001107DB" w:rsidRPr="001107DB" w:rsidRDefault="001107DB" w:rsidP="001107DB">
      <w:pPr>
        <w:widowControl/>
        <w:suppressAutoHyphens w:val="0"/>
        <w:autoSpaceDE/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  <w:r w:rsidRPr="001107DB">
        <w:rPr>
          <w:rFonts w:ascii="Arial" w:hAnsi="Arial" w:cs="Arial"/>
          <w:color w:val="222222"/>
          <w:sz w:val="21"/>
          <w:szCs w:val="21"/>
          <w:lang w:eastAsia="ru-RU"/>
        </w:rPr>
        <w:br/>
      </w:r>
    </w:p>
    <w:p w:rsidR="003F07F2" w:rsidRDefault="003F07F2"/>
    <w:sectPr w:rsidR="003F07F2" w:rsidSect="001107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DC"/>
    <w:rsid w:val="001107DB"/>
    <w:rsid w:val="003D52DC"/>
    <w:rsid w:val="003F07F2"/>
    <w:rsid w:val="005536F3"/>
    <w:rsid w:val="005C0EB9"/>
    <w:rsid w:val="00D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metod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2023-04-05T02:49:00Z</dcterms:created>
  <dcterms:modified xsi:type="dcterms:W3CDTF">2023-04-05T03:24:00Z</dcterms:modified>
</cp:coreProperties>
</file>